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ConsPlusNormal"/>
        <w:numPr>
          <w:ilvl w:val="0"/>
          <w:numId w:val="0"/>
        </w:numPr>
        <w:jc w:val="right"/>
        <w:outlineLvl w:val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Приложение 11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к государственной программе </w:t>
      </w:r>
    </w:p>
    <w:p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ConsPlusNormal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Порядок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предоставления субсидий бюджетам муниципальных районов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(муниципальных округов, городских округов) на создание в общеобразовательных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организациях, расположенных в сельской местности и малых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городах, условий для занятий физической культурой и спортом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в рамках </w:t>
      </w:r>
      <w:bookmarkStart w:id="0" w:name="_GoBack"/>
      <w:bookmarkEnd w:id="0"/>
      <w:r>
        <w:rPr>
          <w:rFonts w:cs="Times New Roman" w:ascii="Times New Roman" w:hAnsi="Times New Roman"/>
        </w:rPr>
        <w:t xml:space="preserve">регионального проекта «Успех каждого ребенка (Брянская область)» государственной программы </w:t>
      </w:r>
    </w:p>
    <w:p>
      <w:pPr>
        <w:pStyle w:val="ConsPlusTitle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"Развитие образования и науки Брянской области"</w:t>
      </w:r>
    </w:p>
    <w:p>
      <w:pPr>
        <w:pStyle w:val="Normal"/>
        <w:spacing w:before="0" w:after="1"/>
        <w:rPr/>
      </w:pPr>
      <w:r>
        <w:rPr/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</w:rPr>
        <w:t xml:space="preserve">1. Настоящий Порядок устанавливает цели и условия предоставления субсидий бюджетам муниципальных районов (муниципальных округов, городских округов) Брянской области (далее - муниципальные образования) на создание в общеобразовательных организациях, расположенных в сельской местности и малых городах, условий для занятий физической культурой и спортом в рамках реализации регионального проекта "Успех каждого ребенка (Брянская область)" государственной программы "Развитие образования и науки Брянской области" (далее соответственно - организации, субсидии, программа), критерии отбора муниципальных образований для предоставления субсидий, порядок отчетности об использовании субсидий, а также критерии оценки эффективности использования муниципальными образованиями </w:t>
      </w:r>
      <w:r>
        <w:rPr>
          <w:rFonts w:cs="Times New Roman" w:ascii="Times New Roman" w:hAnsi="Times New Roman"/>
          <w:szCs w:val="22"/>
        </w:rPr>
        <w:t>предоставляемых субсидий.</w:t>
      </w:r>
    </w:p>
    <w:p>
      <w:pPr>
        <w:pStyle w:val="Normal"/>
        <w:spacing w:before="220" w:after="0"/>
        <w:ind w:firstLine="709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2. Субсидия предоставляется в целях достижения результата использования субсидии, соответствующего результату регионального проекта, а именно: приобретение средств обучения и воспитания, сопутствующих работ (услуг) в целях обновления материально-технической базы для занятия физической культурой и спортом в общеобразовательных организациях, расположенных в сельской местности и малых городах (далее соответственно - результат использования субсидии, общеобразовательные организации).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Требованием к результату использования субсидии является приобретение средств обучения и воспитания, комплектуемых в соответствии с методическими рекомендациями Министерства просвещения Российской Федерации и (или) оказание сопутствующих услуг (выполнение работ) в целях достижения результата использования субсидии, в том числе проведение ремонта спортивных залов, перепрофилирование имеющихся аудиторий под спортивные залы для занятия физической культурой и спортом, создание и развитие школьных спортивных клубов и оснащение спортивным инвентарем и оборудованием открытых плоскостных спортивных сооружений.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Cs w:val="22"/>
        </w:rPr>
        <w:t>3. Субсидии предоставляются по результатам конкурсного отбора муниципальных образований, проводимого департаментом образования и науки Брянской области (далее - департамент) на основании Положения</w:t>
      </w:r>
      <w:r>
        <w:rPr>
          <w:rFonts w:cs="Times New Roman" w:ascii="Times New Roman" w:hAnsi="Times New Roman"/>
        </w:rPr>
        <w:t xml:space="preserve"> о конкурсном отборе на получение субсидии, утверждаемого департаментом.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Критериями отбора муниципальных образований для предоставления субсидии являются: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потребность в проведении капитального ремонта спортивного зала в организации;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потребность в оснащении открытых плоскостных сооружений спортивным инвентарем и оборудованием;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наличие сметы на ремонт спортивных залов, имеющей положительное заключение о достоверности определения сметной стоимости в ценах текущего финансового года, в котором планируется предоставление субсидии;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обязательства по созданию спортивных кружков и секций.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Размер субсидии (Ni) между победителями конкурсного отбора определяется по формуле: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Ni = Q x (Ci / C) x Ki, где:</w:t>
      </w:r>
    </w:p>
    <w:p>
      <w:pPr>
        <w:pStyle w:val="ConsPlus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ConsPlusNormal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Ni - размер субсидии бюджету i-го муниципального образования;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Q - общий объем субсидии, подлежащей распределению между бюджетами муниципальных образований - победителями конкурсного отбора, в соответствии с законом Брянской области об областном бюджете на соответствующий финансовый год и плановый период;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Ci - численность обучающихся в общеобразовательных организациях, расположенных в сельской местности в i-м муниципальном образовании;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C - общая </w:t>
      </w:r>
      <w:r>
        <w:rPr>
          <w:rFonts w:cs="Times New Roman" w:ascii="Times New Roman" w:hAnsi="Times New Roman"/>
          <w:szCs w:val="22"/>
        </w:rPr>
        <w:t>численность обучающихся в общеобразовательных организациях</w:t>
      </w:r>
      <w:r>
        <w:rPr>
          <w:rFonts w:cs="Times New Roman" w:ascii="Times New Roman" w:hAnsi="Times New Roman"/>
        </w:rPr>
        <w:t>, расположенных в сельской местности в Брянской области;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Ki - корректирующий коэффициент, утверждаемый решением конкурсной комиссии.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1" w:name="P11594"/>
      <w:bookmarkEnd w:id="1"/>
      <w:r>
        <w:rPr>
          <w:rFonts w:cs="Times New Roman" w:ascii="Times New Roman" w:hAnsi="Times New Roman"/>
        </w:rPr>
        <w:t>5. Распределение субсидий между бюджетами муниципальных образований утверждается нормативным правовым актом Правительства Брянской области.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6. Условиями предоставления и расходования субсидии являются: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2" w:name="P11597"/>
      <w:bookmarkEnd w:id="2"/>
      <w:r>
        <w:rPr>
          <w:rFonts w:cs="Times New Roman" w:ascii="Times New Roman" w:hAnsi="Times New Roman"/>
        </w:rPr>
        <w:t xml:space="preserve">а) наличие правового акта муниципального образования, утверждающего перечень мероприятий, предусмотренных </w:t>
      </w:r>
      <w:hyperlink w:anchor="P11600">
        <w:r>
          <w:rPr>
            <w:rFonts w:cs="Times New Roman" w:ascii="Times New Roman" w:hAnsi="Times New Roman"/>
          </w:rPr>
          <w:t>пунктами 7</w:t>
        </w:r>
      </w:hyperlink>
      <w:r>
        <w:rPr>
          <w:rFonts w:cs="Times New Roman" w:ascii="Times New Roman" w:hAnsi="Times New Roman"/>
        </w:rPr>
        <w:t xml:space="preserve"> - </w:t>
      </w:r>
      <w:hyperlink w:anchor="P11607">
        <w:r>
          <w:rPr>
            <w:rFonts w:cs="Times New Roman" w:ascii="Times New Roman" w:hAnsi="Times New Roman"/>
          </w:rPr>
          <w:t>9</w:t>
        </w:r>
      </w:hyperlink>
      <w:r>
        <w:rPr>
          <w:rFonts w:cs="Times New Roman" w:ascii="Times New Roman" w:hAnsi="Times New Roman"/>
        </w:rPr>
        <w:t xml:space="preserve"> настоящего Порядка, в целях софинансирования которых предоставляется субсидия, в соответствии с требованиями нормативных правовых актов Брянской области (далее - перечень мероприятий);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bookmarkStart w:id="3" w:name="P11598"/>
      <w:bookmarkEnd w:id="3"/>
      <w:r>
        <w:rPr>
          <w:rFonts w:cs="Times New Roman" w:ascii="Times New Roman" w:hAnsi="Times New Roman"/>
        </w:rPr>
        <w:t>б) наличие в бюджете муниципального образования бюджетных ассигнований на исполнение расходного обязательства в объеме, рассчитанном с учетом предельного уровня софинансирования расходного обязательства муниципального образования из областного бюджета, утверждаемого нормативным правовым актом Правительства Брянской области;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</w:rPr>
        <w:t xml:space="preserve">в) заключение соглашения между департаментом образования и науки Брянской области с органами местного самоуправления о предоставлении субсидии (далее - соглашение) в соответствии с </w:t>
      </w:r>
      <w:hyperlink r:id="rId2">
        <w:r>
          <w:rPr>
            <w:rFonts w:cs="Times New Roman" w:ascii="Times New Roman" w:hAnsi="Times New Roman"/>
          </w:rPr>
          <w:t>пунктом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 из областного бюджета бюджетам муниципальных образований Брянской области, утвержденных постановлением Правительства Брянской области от 23 июля 2018 г. № 362-п "Об утверждении Правил формирования, предоставления и распределения субсидий из областного бюджета бюджетам муниципальных образований Брянской области" (далее - Правила формирования, </w:t>
      </w:r>
      <w:r>
        <w:rPr>
          <w:rFonts w:cs="Times New Roman" w:ascii="Times New Roman" w:hAnsi="Times New Roman"/>
          <w:szCs w:val="22"/>
        </w:rPr>
        <w:t>предоставления и распределения субсидий).</w:t>
      </w:r>
    </w:p>
    <w:p>
      <w:pPr>
        <w:pStyle w:val="Normal"/>
        <w:spacing w:before="220" w:after="0"/>
        <w:ind w:firstLine="567"/>
        <w:contextualSpacing/>
        <w:jc w:val="both"/>
        <w:rPr>
          <w:sz w:val="22"/>
          <w:szCs w:val="22"/>
        </w:rPr>
      </w:pPr>
      <w:bookmarkStart w:id="4" w:name="P11600"/>
      <w:bookmarkEnd w:id="4"/>
      <w:r>
        <w:rPr>
          <w:sz w:val="22"/>
          <w:szCs w:val="22"/>
        </w:rPr>
        <w:t>7. Перечень мероприятий содержит информацию о сложившихся в муниципальном образовании условиях для занятия физической культурой и спортом в общеобразовательных организациях расположенных в сельской местности, об увеличении количества обучающихся в общеобразовательных организациях расположенных в сельской местности, занимающихся физической культурой и спортом во внеурочное время (по каждому уровню общего образования), за исключением дошкольного образования, а также одно или несколько из следующих мероприятий:</w:t>
      </w:r>
    </w:p>
    <w:p>
      <w:pPr>
        <w:pStyle w:val="Normal"/>
        <w:spacing w:before="220" w:after="0"/>
        <w:ind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а) ремонт спортивных залов, с оснащением монтируемого спортивного оборудования;</w:t>
      </w:r>
    </w:p>
    <w:p>
      <w:pPr>
        <w:pStyle w:val="Normal"/>
        <w:spacing w:before="220" w:after="0"/>
        <w:ind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б) перепрофилирование имеющихся аудиторий под спортивные залы для занятия физической культурой и спортом;</w:t>
      </w:r>
    </w:p>
    <w:p>
      <w:pPr>
        <w:pStyle w:val="Normal"/>
        <w:spacing w:before="220" w:after="0"/>
        <w:ind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в) создание и развитие школьных спортивных клубов, а также их оснащение спортивным инвентарем и оборудованием;</w:t>
      </w:r>
    </w:p>
    <w:p>
      <w:pPr>
        <w:pStyle w:val="ConsPlusNormal"/>
        <w:spacing w:before="220" w:after="0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г) оснащение спортивным инвентарем и оборудованием открытых плоскостных спортивных сооружений.</w:t>
      </w:r>
    </w:p>
    <w:p>
      <w:pPr>
        <w:pStyle w:val="ConsPlusNormal"/>
        <w:spacing w:before="220" w:after="0"/>
        <w:ind w:firstLine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szCs w:val="22"/>
        </w:rPr>
        <w:t>8. Перечень мероприятий не содержит мероприятия, осуществляемые за счет средств областного бюджета в рамках других государственных проектов поддержки создания в</w:t>
      </w:r>
      <w:r>
        <w:rPr>
          <w:rFonts w:cs="Times New Roman" w:ascii="Times New Roman" w:hAnsi="Times New Roman"/>
        </w:rPr>
        <w:t xml:space="preserve"> организациях условий для занятия физической культурой и спортом, а также мероприятия, в отношении которых достигнуты цели их реализации.</w:t>
      </w:r>
    </w:p>
    <w:p>
      <w:pPr>
        <w:pStyle w:val="ConsPlusNormal"/>
        <w:spacing w:before="220" w:after="0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Перечень мероприятий не содержит мероприятий, проводимых в общеобразовательных организациях, в которых начиная с 2014 года создавались условия для занятия физической культурой и спортом за счет средств субсидии.</w:t>
      </w:r>
    </w:p>
    <w:p>
      <w:pPr>
        <w:pStyle w:val="Normal"/>
        <w:spacing w:before="220" w:after="0"/>
        <w:ind w:firstLine="567"/>
        <w:contextualSpacing/>
        <w:jc w:val="both"/>
        <w:rPr>
          <w:sz w:val="22"/>
          <w:szCs w:val="22"/>
        </w:rPr>
      </w:pPr>
      <w:bookmarkStart w:id="5" w:name="P11607"/>
      <w:bookmarkEnd w:id="5"/>
      <w:r>
        <w:rPr>
          <w:sz w:val="22"/>
          <w:szCs w:val="22"/>
        </w:rPr>
        <w:t>9. Перечень мероприятий содержит значение результата использования субсидии, а также следующие показатели:</w:t>
      </w:r>
    </w:p>
    <w:p>
      <w:pPr>
        <w:pStyle w:val="Normal"/>
        <w:spacing w:before="220" w:after="0"/>
        <w:ind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а) количество общеобразовательных организаций, в которых обновлена материально-техническая база для занятия физической культурой и спортом;</w:t>
      </w:r>
    </w:p>
    <w:p>
      <w:pPr>
        <w:pStyle w:val="Normal"/>
        <w:spacing w:before="220" w:after="0"/>
        <w:ind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б) количество обучающихся в общеобразовательных организациях, в которых обновлена материально-техническая база для занятия физической культурой и спортом;</w:t>
      </w:r>
    </w:p>
    <w:p>
      <w:pPr>
        <w:pStyle w:val="Normal"/>
        <w:spacing w:before="220" w:after="0"/>
        <w:ind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в) количество общеобразовательных организаций, в которых отремонтированы спортивные залы;</w:t>
      </w:r>
    </w:p>
    <w:p>
      <w:pPr>
        <w:pStyle w:val="Normal"/>
        <w:spacing w:before="220" w:after="0"/>
        <w:ind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г) количество общеобразовательных организаций, в которых имеющиеся аудитории перепрофилированы под спортивные залы для занятия физической культурой и спортом;</w:t>
      </w:r>
    </w:p>
    <w:p>
      <w:pPr>
        <w:pStyle w:val="Normal"/>
        <w:spacing w:before="220" w:after="0"/>
        <w:ind w:firstLine="567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д) увеличение количества школьных спортивных клубов для занятия физической культурой и спортом, которые созданы в общеобразовательных организациях;</w:t>
      </w:r>
    </w:p>
    <w:p>
      <w:pPr>
        <w:pStyle w:val="ConsPlusNormal"/>
        <w:spacing w:before="220" w:after="0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е) количество общеобразовательных организаций, в которых открытые плоскостные спортивные сооружения оснащены спортивным инвентарем и оборудованием.</w:t>
      </w:r>
    </w:p>
    <w:p>
      <w:pPr>
        <w:pStyle w:val="ConsPlusNormal"/>
        <w:spacing w:before="220" w:after="0"/>
        <w:ind w:firstLine="567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10. Предоставление субсидии осуществляется в соответствии с </w:t>
      </w:r>
      <w:hyperlink w:anchor="P11594">
        <w:r>
          <w:rPr>
            <w:rFonts w:cs="Times New Roman" w:ascii="Times New Roman" w:hAnsi="Times New Roman"/>
          </w:rPr>
          <w:t>пунктом 5</w:t>
        </w:r>
      </w:hyperlink>
      <w:r>
        <w:rPr>
          <w:rFonts w:cs="Times New Roman" w:ascii="Times New Roman" w:hAnsi="Times New Roman"/>
        </w:rPr>
        <w:t xml:space="preserve"> настоящего Порядка и соглашением, заключенным в государственной интегрированной информационной системе управления общественными финансами "Электронный бюджет" (далее - система "Электронный бюджет"). В соглашении предусматриваются положения </w:t>
      </w:r>
      <w:hyperlink r:id="rId3">
        <w:r>
          <w:rPr>
            <w:rFonts w:cs="Times New Roman" w:ascii="Times New Roman" w:hAnsi="Times New Roman"/>
          </w:rPr>
          <w:t>пункта 10</w:t>
        </w:r>
      </w:hyperlink>
      <w:r>
        <w:rPr>
          <w:rFonts w:cs="Times New Roman" w:ascii="Times New Roman" w:hAnsi="Times New Roman"/>
        </w:rPr>
        <w:t xml:space="preserve"> Правил формирования, предоставления и распределения субсидий.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11. Соглашения и дополнительные соглашения к соглашению, предусматривающие внесение в него изменений и его расторжение, заключаются по типовой форме, предусмотренной в системе "Электронный бюджет".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12. </w:t>
      </w:r>
      <w:r>
        <w:rPr>
          <w:rFonts w:cs="Times New Roman" w:ascii="Times New Roman" w:hAnsi="Times New Roman"/>
          <w:szCs w:val="22"/>
        </w:rPr>
        <w:t>Внесение в соглашение изменений, предусматривающих ухудшение значения результата использования субсидий, а также увеличение сроков реализации предусмотренных соглашением мероприятий не допускается, за исключением случаев, изменения значений показателей (индикаторов) государственной программы, а также случая сокращения размера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13. Объем бюджетных ассигнований бюджета муниципального образования на финансовое обеспечение расходного обязательства муниципального образования, софинансируемого за счет субсидии, утверждается решением о бюджете муниципального образования (определяется сводной бюджетной росписью бюджета муниципального образования) исходя из необходимости достижения установленных соглашением значений результатов использования субсидии.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14. Оценка эффективности использования муниципальным образованием субсидии осуществляется департаментом образования и науки Брянской области исходя из достигнутых значений результатов использования субсидии, предусмотренных </w:t>
      </w:r>
      <w:hyperlink w:anchor="P11607">
        <w:r>
          <w:rPr>
            <w:rFonts w:cs="Times New Roman" w:ascii="Times New Roman" w:hAnsi="Times New Roman"/>
          </w:rPr>
          <w:t>пунктом 9</w:t>
        </w:r>
      </w:hyperlink>
      <w:r>
        <w:rPr>
          <w:rFonts w:cs="Times New Roman" w:ascii="Times New Roman" w:hAnsi="Times New Roman"/>
        </w:rPr>
        <w:t xml:space="preserve"> настоящего Порядка, а также сроков реализации перечня мероприятий, прилагаемого к соглашению.</w:t>
      </w:r>
    </w:p>
    <w:p>
      <w:pPr>
        <w:pStyle w:val="ConsPlusNormal"/>
        <w:spacing w:before="220" w:after="0"/>
        <w:ind w:firstLine="53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15. </w:t>
      </w:r>
      <w:r>
        <w:rPr>
          <w:rFonts w:cs="Times New Roman" w:ascii="Times New Roman" w:hAnsi="Times New Roman"/>
          <w:szCs w:val="22"/>
        </w:rPr>
        <w:t>Уполномоченный орган местного самоуправления муниципального образования размещает в сроки, установленные соглашением, в системе "Электронный бюджет" отчет о расходах, в целях софинансирования которых предоставляется субсидия, а также отчет о достижении значений результатов использования субсидии.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16. Перечисление субсидий осуществляется в установленном порядке на счета,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образований.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17. В случае если муниципальным образованием по состоянию на 31 декабря года предоставления субсидии допущены нарушения обязательств, предусмотренных соглашением, в соответствии с подпунктом «б(1)» пункта 10 Правил формирования,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году, следующем за годом предоставления субсидии, указанные нарушения не устранены, объем средств, подлежащий возврату из бюджета муниципального образования в областной бюджет, и срок возврата указанных средств определяются в соответствии с пунктами 16 - 18 Правил формирования, предоставления и распределения субсидий.</w:t>
      </w:r>
    </w:p>
    <w:p>
      <w:pPr>
        <w:pStyle w:val="ConsPlusNormal"/>
        <w:ind w:firstLine="567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Освобождение муниципального образования от применения мер ответственности, предусмотренных пунктом 16 Правил формирования, предоставления и распределения субсидий, в том числе возврата средств в доход областного бюджета, осуществляется в соответствии с пунктом 20 указанных Правил.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  <w:szCs w:val="22"/>
        </w:rPr>
      </w:pPr>
      <w:r>
        <w:rPr>
          <w:rFonts w:cs="Times New Roman" w:ascii="Times New Roman" w:hAnsi="Times New Roman"/>
          <w:szCs w:val="22"/>
        </w:rPr>
        <w:t>18. В случае нецелевого использования субсидии муниципальным образованием к нему применяются бюджетные меры принуждения, предусмотренные бюджетным законодательством Российской Федерации.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19. При заключении соглашения уполномоченный орган муниципального образования представляет в департамент образования и науки Брянской области отчет об исполнении условий предоставления субсидий, предусмотренных </w:t>
      </w:r>
      <w:hyperlink w:anchor="P11597">
        <w:r>
          <w:rPr>
            <w:rFonts w:cs="Times New Roman" w:ascii="Times New Roman" w:hAnsi="Times New Roman"/>
          </w:rPr>
          <w:t>подпунктами "а"</w:t>
        </w:r>
      </w:hyperlink>
      <w:r>
        <w:rPr>
          <w:rFonts w:cs="Times New Roman" w:ascii="Times New Roman" w:hAnsi="Times New Roman"/>
        </w:rPr>
        <w:t xml:space="preserve"> и </w:t>
      </w:r>
      <w:hyperlink w:anchor="P11598">
        <w:r>
          <w:rPr>
            <w:rFonts w:cs="Times New Roman" w:ascii="Times New Roman" w:hAnsi="Times New Roman"/>
          </w:rPr>
          <w:t>"б" пункта 6</w:t>
        </w:r>
      </w:hyperlink>
      <w:r>
        <w:rPr>
          <w:rFonts w:cs="Times New Roman" w:ascii="Times New Roman" w:hAnsi="Times New Roman"/>
        </w:rPr>
        <w:t xml:space="preserve"> настоящего Порядка.</w:t>
      </w:r>
    </w:p>
    <w:p>
      <w:pPr>
        <w:pStyle w:val="ConsPlusNormal"/>
        <w:spacing w:before="220" w:after="0"/>
        <w:ind w:firstLine="54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20. Контроль за соблюдением муниципальным образованием условий предоставления субсидии осуществляется департаментом образования и науки Брянской области.</w:t>
      </w:r>
    </w:p>
    <w:sectPr>
      <w:type w:val="nextPage"/>
      <w:pgSz w:w="11906" w:h="16838"/>
      <w:pgMar w:left="1701" w:right="851" w:header="0" w:top="851" w:footer="0" w:bottom="851" w:gutter="0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swiss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Arial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6651e1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eastAsia="ru-RU" w:val="ru-RU" w:bidi="ar-SA"/>
    </w:rPr>
  </w:style>
  <w:style w:type="paragraph" w:styleId="1">
    <w:name w:val="Heading 1"/>
    <w:basedOn w:val="Normal"/>
    <w:next w:val="Normal"/>
    <w:link w:val="10"/>
    <w:qFormat/>
    <w:rsid w:val="006651e1"/>
    <w:pPr>
      <w:keepNext w:val="true"/>
      <w:outlineLvl w:val="0"/>
    </w:pPr>
    <w:rPr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11" w:customStyle="1">
    <w:name w:val="Заголовок 1 Знак"/>
    <w:basedOn w:val="DefaultParagraphFont"/>
    <w:link w:val="1"/>
    <w:qFormat/>
    <w:rsid w:val="006651e1"/>
    <w:rPr>
      <w:rFonts w:ascii="Times New Roman" w:hAnsi="Times New Roman" w:eastAsia="Times New Roman" w:cs="Times New Roman"/>
      <w:sz w:val="28"/>
      <w:szCs w:val="24"/>
      <w:lang w:eastAsia="ru-RU"/>
    </w:rPr>
  </w:style>
  <w:style w:type="character" w:styleId="Style13">
    <w:name w:val="Интернет-ссылка"/>
    <w:rPr>
      <w:color w:val="000080"/>
      <w:u w:val="single"/>
      <w:lang w:val="zxx" w:eastAsia="zxx" w:bidi="zxx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Microsoft YaHei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  <w:style w:type="paragraph" w:styleId="ConsPlusNormal" w:customStyle="1">
    <w:name w:val="ConsPlusNorma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Nonformat" w:customStyle="1">
    <w:name w:val="ConsPlusNonforma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Title" w:customStyle="1">
    <w:name w:val="ConsPlusTitl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b/>
      <w:color w:val="auto"/>
      <w:kern w:val="0"/>
      <w:sz w:val="22"/>
      <w:szCs w:val="20"/>
      <w:lang w:eastAsia="ru-RU" w:val="ru-RU" w:bidi="ar-SA"/>
    </w:rPr>
  </w:style>
  <w:style w:type="paragraph" w:styleId="ConsPlusCell" w:customStyle="1">
    <w:name w:val="ConsPlusCell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eastAsia="ru-RU" w:val="ru-RU" w:bidi="ar-SA"/>
    </w:rPr>
  </w:style>
  <w:style w:type="paragraph" w:styleId="ConsPlusDocList" w:customStyle="1">
    <w:name w:val="ConsPlusDoc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Calibri" w:hAnsi="Calibri" w:eastAsia="Times New Roman" w:cs="Calibri" w:asciiTheme="minorHAnsi" w:hAnsiTheme="minorHAnsi"/>
      <w:color w:val="auto"/>
      <w:kern w:val="0"/>
      <w:sz w:val="22"/>
      <w:szCs w:val="20"/>
      <w:lang w:eastAsia="ru-RU" w:val="ru-RU" w:bidi="ar-SA"/>
    </w:rPr>
  </w:style>
  <w:style w:type="paragraph" w:styleId="ConsPlusTitlePage" w:customStyle="1">
    <w:name w:val="ConsPlusTitlePage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0"/>
      <w:szCs w:val="20"/>
      <w:lang w:eastAsia="ru-RU" w:val="ru-RU" w:bidi="ar-SA"/>
    </w:rPr>
  </w:style>
  <w:style w:type="paragraph" w:styleId="ConsPlusJurTerm" w:customStyle="1">
    <w:name w:val="ConsPlusJurTerm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Tahoma" w:hAnsi="Tahoma" w:eastAsia="Times New Roman" w:cs="Tahoma"/>
      <w:color w:val="auto"/>
      <w:kern w:val="0"/>
      <w:sz w:val="26"/>
      <w:szCs w:val="20"/>
      <w:lang w:eastAsia="ru-RU" w:val="ru-RU" w:bidi="ar-SA"/>
    </w:rPr>
  </w:style>
  <w:style w:type="paragraph" w:styleId="ConsPlusTextList" w:customStyle="1">
    <w:name w:val="ConsPlusTextList"/>
    <w:qFormat/>
    <w:rsid w:val="002309da"/>
    <w:pPr>
      <w:widowControl w:val="false"/>
      <w:bidi w:val="0"/>
      <w:spacing w:lineRule="auto" w:line="240" w:before="0" w:after="0"/>
      <w:jc w:val="left"/>
    </w:pPr>
    <w:rPr>
      <w:rFonts w:ascii="Arial" w:hAnsi="Arial" w:eastAsia="Times New Roman" w:cs="Arial"/>
      <w:color w:val="auto"/>
      <w:kern w:val="0"/>
      <w:sz w:val="20"/>
      <w:szCs w:val="20"/>
      <w:lang w:eastAsia="ru-RU" w:val="ru-RU" w:bidi="ar-SA"/>
    </w:rPr>
  </w:style>
  <w:style w:type="paragraph" w:styleId="ListParagraph">
    <w:name w:val="List Paragraph"/>
    <w:basedOn w:val="Normal"/>
    <w:uiPriority w:val="34"/>
    <w:qFormat/>
    <w:rsid w:val="00ac6c22"/>
    <w:pPr>
      <w:spacing w:lineRule="auto" w:line="276" w:before="0" w:after="20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sz w:val="22"/>
      <w:szCs w:val="22"/>
      <w:lang w:eastAsia="en-US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3" Type="http://schemas.openxmlformats.org/officeDocument/2006/relationships/hyperlink" Target="consultantplus://offline/ref=96459022ABE20A108D85BEE2D3621143054DC5C34EB520EB0F6C35846B7A5EF7567D569A7C466B9DE88CC3F055F1BFE8DB7976766ECB33022F6DD0sAq0F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Application>LibreOffice/7.0.1.2$Windows_X86_64 LibreOffice_project/7cbcfc562f6eb6708b5ff7d7397325de9e764452</Application>
  <Pages>4</Pages>
  <Words>1322</Words>
  <Characters>10286</Characters>
  <CharactersWithSpaces>11553</CharactersWithSpaces>
  <Paragraphs>57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2021-03-26T11:35:00Z</dcterms:created>
  <dc:creator>User</dc:creator>
  <dc:description/>
  <dc:language>ru-RU</dc:language>
  <cp:lastModifiedBy>User</cp:lastModifiedBy>
  <dcterms:modified xsi:type="dcterms:W3CDTF">2021-10-14T11:47:00Z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